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245"/>
        <w:tblW w:w="15475" w:type="dxa"/>
        <w:tblLook w:val="04A0" w:firstRow="1" w:lastRow="0" w:firstColumn="1" w:lastColumn="0" w:noHBand="0" w:noVBand="1"/>
      </w:tblPr>
      <w:tblGrid>
        <w:gridCol w:w="5765"/>
        <w:gridCol w:w="9710"/>
      </w:tblGrid>
      <w:tr w:rsidR="00391487" w:rsidRPr="00391487" w14:paraId="45A627E6" w14:textId="77777777" w:rsidTr="00A80973">
        <w:trPr>
          <w:trHeight w:val="300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D0A53B" w14:textId="77777777" w:rsidR="00391487" w:rsidRPr="00391487" w:rsidRDefault="00391487" w:rsidP="003914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1487">
              <w:rPr>
                <w:rFonts w:ascii="Calibri" w:eastAsia="Times New Roman" w:hAnsi="Calibri" w:cs="Calibri"/>
                <w:b/>
                <w:bCs/>
                <w:color w:val="000000"/>
              </w:rPr>
              <w:t>POSTING DETAILS</w:t>
            </w:r>
          </w:p>
        </w:tc>
        <w:tc>
          <w:tcPr>
            <w:tcW w:w="9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65F6B59" w14:textId="32CBD69E" w:rsidR="00391487" w:rsidRPr="00391487" w:rsidRDefault="00391487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487" w:rsidRPr="00391487" w14:paraId="2E2FB444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720F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Posting Number: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5235" w14:textId="45D4DA62" w:rsidR="00391487" w:rsidRPr="00391487" w:rsidRDefault="00110FB7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0002</w:t>
            </w:r>
          </w:p>
        </w:tc>
      </w:tr>
      <w:tr w:rsidR="00391487" w:rsidRPr="00391487" w14:paraId="36A6A376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55AA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Position Title: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A471B" w14:textId="347DD5F7" w:rsidR="00391487" w:rsidRPr="00391487" w:rsidRDefault="00110FB7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Career Connected Learning Systems Navigator</w:t>
            </w:r>
          </w:p>
        </w:tc>
      </w:tr>
      <w:tr w:rsidR="00391487" w:rsidRPr="00391487" w14:paraId="3DCB3B28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B8BD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Reports To: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10075" w14:textId="2991E0A6" w:rsidR="00391487" w:rsidRPr="00391487" w:rsidRDefault="00110FB7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 xml:space="preserve">Vice President of Academic and Student Affairs  </w:t>
            </w:r>
          </w:p>
        </w:tc>
      </w:tr>
      <w:tr w:rsidR="00391487" w:rsidRPr="00391487" w14:paraId="619B0D45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3F47" w14:textId="308FB91C" w:rsidR="00391487" w:rsidRPr="00391487" w:rsidRDefault="00B172A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DBM: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6726" w14:textId="4C6CD464" w:rsidR="00391487" w:rsidRPr="00391487" w:rsidRDefault="00391487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1487" w:rsidRPr="00391487" w14:paraId="38EA920F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028F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Type of Position: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3F068" w14:textId="1EE2A39A" w:rsidR="00391487" w:rsidRPr="00391487" w:rsidRDefault="00110FB7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 xml:space="preserve">Service/Supervisory/Administrator  </w:t>
            </w:r>
          </w:p>
        </w:tc>
      </w:tr>
      <w:tr w:rsidR="00391487" w:rsidRPr="00391487" w14:paraId="6E8EDD01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1FD8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Assignment Description: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C6580" w14:textId="6D0EF6DE" w:rsidR="00391487" w:rsidRPr="00391487" w:rsidRDefault="00110FB7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 xml:space="preserve">This is a grant-funded position with secure funding through September 30, 2024. Continuation of this position is dependent on funding.  </w:t>
            </w:r>
          </w:p>
        </w:tc>
      </w:tr>
      <w:tr w:rsidR="00391487" w:rsidRPr="00391487" w14:paraId="66A63CA7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52CA" w14:textId="77777777" w:rsidR="00391487" w:rsidRPr="00391487" w:rsidRDefault="00391487" w:rsidP="003914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Salary: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21116" w14:textId="1DC90740" w:rsidR="00391487" w:rsidRPr="00391487" w:rsidRDefault="00110FB7" w:rsidP="00897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Base pay starts at $56,695</w:t>
            </w:r>
          </w:p>
        </w:tc>
      </w:tr>
      <w:tr w:rsidR="00391487" w:rsidRPr="00391487" w14:paraId="397585BE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AD56" w14:textId="77777777" w:rsidR="00391487" w:rsidRPr="00391487" w:rsidRDefault="00391487" w:rsidP="008970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Type of Benefits: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D9E68" w14:textId="30B72AE9" w:rsidR="00110FB7" w:rsidRPr="00110FB7" w:rsidRDefault="00110FB7" w:rsidP="00110F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Medical, dental (with orthodontia), vision</w:t>
            </w:r>
          </w:p>
          <w:p w14:paraId="4D12B7A6" w14:textId="77777777" w:rsidR="00110FB7" w:rsidRPr="00110FB7" w:rsidRDefault="00110FB7" w:rsidP="00110F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Life, Long-term disability</w:t>
            </w:r>
          </w:p>
          <w:p w14:paraId="621C3A2A" w14:textId="77777777" w:rsidR="00110FB7" w:rsidRPr="00110FB7" w:rsidRDefault="00110FB7" w:rsidP="00110F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State PERS retirement</w:t>
            </w:r>
          </w:p>
          <w:p w14:paraId="6FF03572" w14:textId="77777777" w:rsidR="00110FB7" w:rsidRPr="00110FB7" w:rsidRDefault="00110FB7" w:rsidP="00110F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Tuition Waiver</w:t>
            </w:r>
          </w:p>
          <w:p w14:paraId="2E13677A" w14:textId="6D3F4E99" w:rsidR="00897072" w:rsidRPr="00110FB7" w:rsidRDefault="00110FB7" w:rsidP="00110F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 xml:space="preserve">EAP  </w:t>
            </w:r>
          </w:p>
        </w:tc>
      </w:tr>
      <w:tr w:rsidR="00110FB7" w:rsidRPr="00391487" w14:paraId="4A09017A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9C5E" w14:textId="77777777" w:rsidR="00110FB7" w:rsidRPr="00391487" w:rsidRDefault="00110FB7" w:rsidP="0011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Other Benefits (if applicable):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032A" w14:textId="77777777" w:rsidR="00110FB7" w:rsidRPr="00110FB7" w:rsidRDefault="00110FB7" w:rsidP="00110F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Full-time Service and Supervisory employees receive 176 hours of vacation annually.</w:t>
            </w:r>
          </w:p>
          <w:p w14:paraId="304442C4" w14:textId="77777777" w:rsidR="00110FB7" w:rsidRPr="00110FB7" w:rsidRDefault="00110FB7" w:rsidP="00110F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Employees and eligible dependents receive a tuition waiver and free use of our fitness facility.</w:t>
            </w:r>
          </w:p>
          <w:p w14:paraId="35B3B3E4" w14:textId="45C2313E" w:rsidR="00110FB7" w:rsidRPr="00110FB7" w:rsidRDefault="00110FB7" w:rsidP="00110F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 xml:space="preserve">In addition to mandated retirement program participation, the college provides options for voluntary 403(b) savings participation.  </w:t>
            </w:r>
          </w:p>
        </w:tc>
      </w:tr>
      <w:tr w:rsidR="00110FB7" w:rsidRPr="00391487" w14:paraId="3ADE725D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8261" w14:textId="77777777" w:rsidR="00110FB7" w:rsidRPr="00391487" w:rsidRDefault="00110FB7" w:rsidP="0011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Department: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B402" w14:textId="717FC931" w:rsidR="00110FB7" w:rsidRPr="0039148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 xml:space="preserve">Instruction  </w:t>
            </w:r>
          </w:p>
        </w:tc>
      </w:tr>
      <w:tr w:rsidR="00110FB7" w:rsidRPr="00391487" w14:paraId="310106F1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3820" w14:textId="77777777" w:rsidR="00110FB7" w:rsidRPr="00391487" w:rsidRDefault="00110FB7" w:rsidP="0011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Job Summary/Basic Function: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CB09" w14:textId="30C4974E" w:rsidR="00110FB7" w:rsidRPr="0039148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The Career Connected Learning (CCL) Systems Navigator is responsible for coordinating efforts to connect K-12 students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>with CCC Career Technical (CTE) programs and other career development opportunities. These efforts will include working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>with local schools, workforce boards, the North-West Regional ESD and other groups to develop activities and resources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>to help students learn about career options, gain experience, and transition from high school to a career or into a CTE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>program. This position will work in collaboration with counterparts around the state to increase internships, access to CTE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>training programs, and career exploration opportunities with the goal of reducing equity gaps in CCC's large and diverse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 xml:space="preserve">district.  </w:t>
            </w:r>
          </w:p>
        </w:tc>
      </w:tr>
      <w:tr w:rsidR="00110FB7" w:rsidRPr="00391487" w14:paraId="38BBEAF3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20E6" w14:textId="77777777" w:rsidR="00110FB7" w:rsidRPr="00391487" w:rsidRDefault="00110FB7" w:rsidP="0011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Essential Duties: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B2F7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ESSENTIAL DUTIES AND RESPONSIBILITIES:</w:t>
            </w:r>
          </w:p>
          <w:p w14:paraId="52907403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Core Elements:</w:t>
            </w:r>
          </w:p>
          <w:p w14:paraId="0ABF7F78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1. Build relationships and connections for K-12 schools within CCC's district that maintain, develop, and/or</w:t>
            </w:r>
          </w:p>
          <w:p w14:paraId="6F89D30A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enhance CCL and Work-Based Learning (WBL) opportunities.</w:t>
            </w:r>
          </w:p>
          <w:p w14:paraId="15722C88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2. Coordinate and collaborate with CTE Regional Coordinators, STEM Hubs, Workforce Development Board and</w:t>
            </w:r>
          </w:p>
          <w:p w14:paraId="582327A9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Local Workforce Investment Boards, Local/Regional Business and Industry, School Districts, and the North-West</w:t>
            </w:r>
          </w:p>
          <w:p w14:paraId="57B55875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Regional ESD (Education Service District).</w:t>
            </w:r>
          </w:p>
          <w:p w14:paraId="630F6714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3. Support the improvement of connections, coordination, and alignment between the colleges and the high</w:t>
            </w:r>
          </w:p>
          <w:p w14:paraId="60F25DA7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schools through marketing, recruitment, onboarding, advising, and professional learning.</w:t>
            </w:r>
          </w:p>
          <w:p w14:paraId="4CFFC561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4. Help to identify and remove barriers to aid student transition into CTE college programs and/or careers.</w:t>
            </w:r>
          </w:p>
          <w:p w14:paraId="0B4401CB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5. Develop and implement strategies to identify and address capacity and equity gaps in connecting regional CCL</w:t>
            </w:r>
          </w:p>
          <w:p w14:paraId="4B057D45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systems to CCC programs.</w:t>
            </w:r>
          </w:p>
          <w:p w14:paraId="2CA3A692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 xml:space="preserve">6. Recommend best and promising practices of systems of support, programmatic </w:t>
            </w:r>
            <w:proofErr w:type="gramStart"/>
            <w:r w:rsidRPr="00110FB7">
              <w:rPr>
                <w:rFonts w:ascii="Calibri" w:eastAsia="Times New Roman" w:hAnsi="Calibri" w:cs="Calibri"/>
                <w:color w:val="000000"/>
              </w:rPr>
              <w:t>structures</w:t>
            </w:r>
            <w:proofErr w:type="gramEnd"/>
            <w:r w:rsidRPr="00110FB7">
              <w:rPr>
                <w:rFonts w:ascii="Calibri" w:eastAsia="Times New Roman" w:hAnsi="Calibri" w:cs="Calibri"/>
                <w:color w:val="000000"/>
              </w:rPr>
              <w:t xml:space="preserve"> and standards, and</w:t>
            </w:r>
          </w:p>
          <w:p w14:paraId="1D39F519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data and tracking systems to local education agencies and other education and community partners for</w:t>
            </w:r>
          </w:p>
          <w:p w14:paraId="537C938D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 xml:space="preserve">improvement efforts related to operations and compliance with established policies, </w:t>
            </w:r>
            <w:proofErr w:type="gramStart"/>
            <w:r w:rsidRPr="00110FB7">
              <w:rPr>
                <w:rFonts w:ascii="Calibri" w:eastAsia="Times New Roman" w:hAnsi="Calibri" w:cs="Calibri"/>
                <w:color w:val="000000"/>
              </w:rPr>
              <w:t>objectives</w:t>
            </w:r>
            <w:proofErr w:type="gramEnd"/>
            <w:r w:rsidRPr="00110FB7">
              <w:rPr>
                <w:rFonts w:ascii="Calibri" w:eastAsia="Times New Roman" w:hAnsi="Calibri" w:cs="Calibri"/>
                <w:color w:val="000000"/>
              </w:rPr>
              <w:t xml:space="preserve"> and regulations</w:t>
            </w:r>
          </w:p>
          <w:p w14:paraId="6D356F65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pertaining to CCL.</w:t>
            </w:r>
          </w:p>
          <w:p w14:paraId="35FF7A77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7. Participate actively in CCL Network meetings and activities and contribute to the CCL Resource Hub.</w:t>
            </w:r>
          </w:p>
          <w:p w14:paraId="2509FBFA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Regional Program Elements:</w:t>
            </w:r>
          </w:p>
          <w:p w14:paraId="0B146A02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8. Collaborate with CCC's internal and external partners on best practices for providing equitable, quality career</w:t>
            </w:r>
          </w:p>
          <w:p w14:paraId="29338D71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awareness, exploration, preparation, and training programs for K-12 students while ensuring those programs</w:t>
            </w:r>
          </w:p>
          <w:p w14:paraId="39C6032A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align to the broader workforce development systems in the region.</w:t>
            </w:r>
          </w:p>
          <w:p w14:paraId="7C74374C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9. Document systems and processes that support sustaining the grant activities beyond the initial funding.</w:t>
            </w:r>
          </w:p>
          <w:p w14:paraId="117A6509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10. Recommend administrative controls, organizational structures, and program standards to CCC</w:t>
            </w:r>
          </w:p>
          <w:p w14:paraId="1F82B8A7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administrators, local education agencies and other education and community partners to improve operations or</w:t>
            </w:r>
          </w:p>
          <w:p w14:paraId="74F2A2DA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maintain compliance with established policies, objectives, and regulations pertaining to CCL.</w:t>
            </w:r>
          </w:p>
          <w:p w14:paraId="1B5E6A47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Administrative Functions:</w:t>
            </w:r>
          </w:p>
          <w:p w14:paraId="101FDA9F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11.Collect data needed to satisfy CCC and grant reporting requirements.</w:t>
            </w:r>
          </w:p>
          <w:p w14:paraId="3112BB69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12.Monitor program area expenses and budget-related activities.</w:t>
            </w:r>
          </w:p>
          <w:p w14:paraId="751EC6C2" w14:textId="36AC8715" w:rsidR="00110FB7" w:rsidRPr="0039148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 xml:space="preserve">13.Perform other essential functions as assigned that support the overall objectives of the position.  </w:t>
            </w:r>
          </w:p>
        </w:tc>
      </w:tr>
      <w:tr w:rsidR="00110FB7" w:rsidRPr="00391487" w14:paraId="3B9EBE16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314A77" w14:textId="77777777" w:rsidR="00110FB7" w:rsidRPr="00391487" w:rsidRDefault="00110FB7" w:rsidP="00110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MINIMUM QUALIFICATIONS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2A027712" w14:textId="0AAA4FA2" w:rsidR="00110FB7" w:rsidRPr="0039148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0FB7" w:rsidRPr="00391487" w14:paraId="54070F5A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35F2" w14:textId="77777777" w:rsidR="00110FB7" w:rsidRPr="00391487" w:rsidRDefault="00110FB7" w:rsidP="0011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Education and Experience: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B2F20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Minimum Requirements:</w:t>
            </w:r>
          </w:p>
          <w:p w14:paraId="27CB9E64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1. Bachelor's degree in education, business, human development, or related field.</w:t>
            </w:r>
          </w:p>
          <w:p w14:paraId="49882BE8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2. Two years of related professional work experience in any combination of the following:</w:t>
            </w:r>
          </w:p>
          <w:p w14:paraId="08094B5C" w14:textId="77777777" w:rsidR="00110FB7" w:rsidRPr="00110FB7" w:rsidRDefault="00110FB7" w:rsidP="00110FB7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a. Working with students and/or community partners representing diverse communities</w:t>
            </w:r>
          </w:p>
          <w:p w14:paraId="679CC75C" w14:textId="77777777" w:rsidR="00110FB7" w:rsidRPr="00110FB7" w:rsidRDefault="00110FB7" w:rsidP="00110FB7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b. Coordinating programs and facilitating small, medium, and large network gatherings</w:t>
            </w:r>
          </w:p>
          <w:p w14:paraId="04990472" w14:textId="2886B497" w:rsidR="00110FB7" w:rsidRDefault="00110FB7" w:rsidP="00110FB7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c. Building and coordinating grant/project management activities</w:t>
            </w:r>
          </w:p>
          <w:p w14:paraId="52CADA7F" w14:textId="77777777" w:rsidR="00110FB7" w:rsidRPr="00110FB7" w:rsidRDefault="00110FB7" w:rsidP="00110FB7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</w:p>
          <w:p w14:paraId="3CC3F701" w14:textId="0AE72E39" w:rsid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The College recognizes the value of skills and knowledge gained outside of formal higher education and paid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>employment. Applicants who do not meet minimum qualifications but present other qualifications or experience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>equivalent to those required will be considered and are encouraged to apply.</w:t>
            </w:r>
          </w:p>
          <w:p w14:paraId="61E4FB39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6FA631B" w14:textId="37543509" w:rsid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All employees are required to successfully complete and pass a background screen, which includes a criminal history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>check.</w:t>
            </w:r>
          </w:p>
          <w:p w14:paraId="34835EFB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C8A1A05" w14:textId="77777777" w:rsid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License: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 xml:space="preserve">Current Oregon Driver's License, or the ability to obtain within 30-days of hire.  </w:t>
            </w:r>
          </w:p>
          <w:p w14:paraId="2311AFE2" w14:textId="77777777" w:rsid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0802736" w14:textId="77777777" w:rsid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AF56A98" w14:textId="78953E33" w:rsidR="00110FB7" w:rsidRPr="0039148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0FB7" w:rsidRPr="00391487" w14:paraId="43AB3D91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CA23" w14:textId="77777777" w:rsidR="00110FB7" w:rsidRPr="00391487" w:rsidRDefault="00110FB7" w:rsidP="0011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Knowledge, Skills and Abilities Required: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AE8D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KNOWLEDGE, SKILLS, AND ABILITIES:</w:t>
            </w:r>
          </w:p>
          <w:p w14:paraId="05A28A0F" w14:textId="31710836" w:rsid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Individuals must possess these knowledge, skills and abilities or be able to explain and demonstrate that the individual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>can perform the duties and responsibilities of the job, with or without reasonable accommodation, using some other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>combination of skills and abilities. The individual is expected to follow College work rules and policies.</w:t>
            </w:r>
          </w:p>
          <w:p w14:paraId="5854D7F5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7970531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1. Demonstrated knowledge and understanding of K-12 and postsecondary educational settings.</w:t>
            </w:r>
          </w:p>
          <w:p w14:paraId="5DF716EA" w14:textId="3DA716D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2. Knowledge of project management including planning, implementing, and supporting grant related projects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>and activities.</w:t>
            </w:r>
          </w:p>
          <w:p w14:paraId="6B3701A5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3. Possess effective interpersonal, organizational, and oral and written communication skills.</w:t>
            </w:r>
          </w:p>
          <w:p w14:paraId="384713B3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4. Ability to work independently and to use good judgment with respect to priorities and deadlines.</w:t>
            </w:r>
          </w:p>
          <w:p w14:paraId="19CB7E24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5. Ability to carry out complex tasks and build new programs with limited guidance.</w:t>
            </w:r>
          </w:p>
          <w:p w14:paraId="2EB2E2D3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6. Ability to manage conflicts within and/or between groups and to work in a team environment.</w:t>
            </w:r>
          </w:p>
          <w:p w14:paraId="1FB497E3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7. Ability to consistently treats customers, partners, vendors and co-workers with dignity and respect.</w:t>
            </w:r>
          </w:p>
          <w:p w14:paraId="6E33B422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8. Ability to communicate and develop strong working relationships with people from different cultural</w:t>
            </w:r>
          </w:p>
          <w:p w14:paraId="50925FEE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backgrounds and other aspects of human diversity; possess a high degree of cultural competence.</w:t>
            </w:r>
          </w:p>
          <w:p w14:paraId="1A7716BD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9. Ability to monitor budgets and other administrative processes in a timely and professional manner.</w:t>
            </w:r>
          </w:p>
          <w:p w14:paraId="65B00C00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10. Ability to meet deadlines, set work priorities, and manage workload.</w:t>
            </w:r>
          </w:p>
          <w:p w14:paraId="3D2B5D68" w14:textId="2F80E406" w:rsidR="00110FB7" w:rsidRPr="00A80973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11. Ability to use software programs and database systems which include Microsoft Office Suite, email, website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 xml:space="preserve">editing, basic desktop publishing, and modern office equipment.  </w:t>
            </w:r>
          </w:p>
        </w:tc>
      </w:tr>
      <w:tr w:rsidR="00110FB7" w:rsidRPr="00391487" w14:paraId="657B3C16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B4E7" w14:textId="77777777" w:rsidR="00110FB7" w:rsidRPr="00391487" w:rsidRDefault="00110FB7" w:rsidP="0011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Desirable Qualifications: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6EC9B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Preferred Qualifications:</w:t>
            </w:r>
          </w:p>
          <w:p w14:paraId="048FAB5D" w14:textId="51133112" w:rsidR="00110FB7" w:rsidRPr="00110FB7" w:rsidRDefault="00110FB7" w:rsidP="00110F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Master's degree in education, business, human development, or related professional field.</w:t>
            </w:r>
          </w:p>
          <w:p w14:paraId="16ADB2FA" w14:textId="58EA270F" w:rsidR="00110FB7" w:rsidRPr="00110FB7" w:rsidRDefault="00110FB7" w:rsidP="00110F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Experience working in a higher education setting.</w:t>
            </w:r>
          </w:p>
          <w:p w14:paraId="27D9B180" w14:textId="796A541E" w:rsidR="00110FB7" w:rsidRPr="00110FB7" w:rsidRDefault="00110FB7" w:rsidP="00110F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Experience that demonstrates focus and support of Career and College Readiness, Career Connected Learning, or Work-based Learning efforts.</w:t>
            </w:r>
          </w:p>
        </w:tc>
      </w:tr>
      <w:tr w:rsidR="00110FB7" w:rsidRPr="00391487" w14:paraId="3F8149F8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07DC" w14:textId="77777777" w:rsidR="00110FB7" w:rsidRPr="00391487" w:rsidRDefault="00110FB7" w:rsidP="0011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Physical Requirements: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A5C9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ERGONOMIC REQUIREMENTS:</w:t>
            </w:r>
          </w:p>
          <w:p w14:paraId="45E36407" w14:textId="556E02E1" w:rsidR="00110FB7" w:rsidRPr="0039148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This position requires a flexible work schedule that may include frequent regional travel, some overnight, and some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>evening and weekend work. Travel throughout the CCC regions as well as to state meetings is required for this position.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>Incumbent must be able to function effectively indoors in an office environment engaged in work of primarily 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>sedentary nature. Requires the ability to work at a workstation for extended periods. Requires ability to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>write, read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 xml:space="preserve">written materials and computer screens, and ability to use telephonic conversations. Occasional </w:t>
            </w:r>
            <w:proofErr w:type="gramStart"/>
            <w:r w:rsidRPr="00110FB7">
              <w:rPr>
                <w:rFonts w:ascii="Calibri" w:eastAsia="Times New Roman" w:hAnsi="Calibri" w:cs="Calibri"/>
                <w:color w:val="000000"/>
              </w:rPr>
              <w:t>lifting</w:t>
            </w:r>
            <w:r w:rsidRPr="00110F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up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to</w:t>
            </w:r>
            <w:r w:rsidRPr="00110FB7">
              <w:rPr>
                <w:rFonts w:ascii="Calibri" w:eastAsia="Times New Roman" w:hAnsi="Calibri" w:cs="Calibri"/>
                <w:color w:val="000000"/>
              </w:rPr>
              <w:t xml:space="preserve"> 25lbs. All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10FB7">
              <w:rPr>
                <w:rFonts w:ascii="Calibri" w:eastAsia="Times New Roman" w:hAnsi="Calibri" w:cs="Calibri"/>
                <w:color w:val="000000"/>
              </w:rPr>
              <w:t>individuals are required to perform essential functions with or without reasonable accommodation.</w:t>
            </w:r>
          </w:p>
        </w:tc>
      </w:tr>
      <w:tr w:rsidR="00110FB7" w:rsidRPr="00391487" w14:paraId="6E1719B0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785F" w14:textId="77777777" w:rsidR="00110FB7" w:rsidRPr="00391487" w:rsidRDefault="00110FB7" w:rsidP="0011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Posting Date: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C714" w14:textId="17E7A6F4" w:rsidR="00110FB7" w:rsidRPr="0039148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 xml:space="preserve">09-14-2022  </w:t>
            </w:r>
          </w:p>
        </w:tc>
      </w:tr>
      <w:tr w:rsidR="00110FB7" w:rsidRPr="00391487" w14:paraId="4CAA5BD0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6376" w14:textId="77777777" w:rsidR="00110FB7" w:rsidRPr="00391487" w:rsidRDefault="00110FB7" w:rsidP="0011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Special Instructions to Applicants: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47AD" w14:textId="3CC6C43C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 xml:space="preserve">VETERAN'S PREFERENCE: </w:t>
            </w:r>
            <w:proofErr w:type="gramStart"/>
            <w:r w:rsidRPr="00110FB7">
              <w:rPr>
                <w:rFonts w:ascii="Calibri" w:eastAsia="Times New Roman" w:hAnsi="Calibri" w:cs="Calibri"/>
                <w:color w:val="000000"/>
              </w:rPr>
              <w:t>In order to</w:t>
            </w:r>
            <w:proofErr w:type="gramEnd"/>
            <w:r w:rsidRPr="00110FB7">
              <w:rPr>
                <w:rFonts w:ascii="Calibri" w:eastAsia="Times New Roman" w:hAnsi="Calibri" w:cs="Calibri"/>
                <w:color w:val="000000"/>
              </w:rPr>
              <w:t xml:space="preserve"> establish veteran preference, please upload completed Form DD214 (per OAR 839-006-0445 and OAR 839-006-0450(3)) in Other Documents area. If you wish to be considered for Disabled Veteran's Preference, please upload your DD215.</w:t>
            </w:r>
          </w:p>
          <w:p w14:paraId="41C0736A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2915658" w14:textId="0F1892DC" w:rsidR="00110FB7" w:rsidRPr="0039148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 xml:space="preserve">Successful candidate will be required to provide official transcripts upon initial hire.  </w:t>
            </w:r>
          </w:p>
        </w:tc>
      </w:tr>
      <w:tr w:rsidR="00110FB7" w:rsidRPr="00391487" w14:paraId="0E5BD491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E911F7E" w14:textId="77777777" w:rsidR="00110FB7" w:rsidRPr="00391487" w:rsidRDefault="00110FB7" w:rsidP="00110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TO APPLY, PLEASE SUBMIT THE FOLLOWING: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6071F1F3" w14:textId="4AB213E0" w:rsidR="00110FB7" w:rsidRPr="0039148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10FB7" w:rsidRPr="00391487" w14:paraId="34C82A97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779E" w14:textId="77777777" w:rsidR="00110FB7" w:rsidRPr="00391487" w:rsidRDefault="00110FB7" w:rsidP="0011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Optional Applicant Documents: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7EA66" w14:textId="36EBBEBE" w:rsidR="00110FB7" w:rsidRPr="0039148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 xml:space="preserve">Other Document  </w:t>
            </w:r>
          </w:p>
        </w:tc>
      </w:tr>
      <w:tr w:rsidR="00110FB7" w:rsidRPr="00391487" w14:paraId="5A4FAB8F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AD08" w14:textId="77777777" w:rsidR="00110FB7" w:rsidRPr="00391487" w:rsidRDefault="00110FB7" w:rsidP="0011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Required Applicant Documents: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D669" w14:textId="77777777" w:rsidR="00110FB7" w:rsidRPr="00110FB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>Resume</w:t>
            </w:r>
          </w:p>
          <w:p w14:paraId="46F9055D" w14:textId="7EEC5CAC" w:rsidR="00110FB7" w:rsidRPr="0039148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 xml:space="preserve">Cover Letter  </w:t>
            </w:r>
          </w:p>
        </w:tc>
      </w:tr>
      <w:tr w:rsidR="00110FB7" w:rsidRPr="00391487" w14:paraId="25C70E8D" w14:textId="77777777" w:rsidTr="00A80973">
        <w:trPr>
          <w:trHeight w:val="30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756092" w14:textId="77777777" w:rsidR="00110FB7" w:rsidRPr="00391487" w:rsidRDefault="00110FB7" w:rsidP="00110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9148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CLOSING DATE:</w:t>
            </w:r>
          </w:p>
        </w:tc>
        <w:tc>
          <w:tcPr>
            <w:tcW w:w="9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5B068FCA" w14:textId="1DDFC6A7" w:rsidR="00110FB7" w:rsidRPr="00391487" w:rsidRDefault="00110FB7" w:rsidP="00110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0FB7">
              <w:rPr>
                <w:rFonts w:ascii="Calibri" w:eastAsia="Times New Roman" w:hAnsi="Calibri" w:cs="Calibri"/>
                <w:color w:val="000000"/>
              </w:rPr>
              <w:t xml:space="preserve">Open Until Filled  </w:t>
            </w:r>
          </w:p>
        </w:tc>
      </w:tr>
    </w:tbl>
    <w:p w14:paraId="7A238775" w14:textId="77777777" w:rsidR="00981434" w:rsidRPr="00391487" w:rsidRDefault="00981434" w:rsidP="00391487"/>
    <w:sectPr w:rsidR="00981434" w:rsidRPr="00391487" w:rsidSect="00897072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891"/>
    <w:multiLevelType w:val="hybridMultilevel"/>
    <w:tmpl w:val="66E2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9C7"/>
    <w:multiLevelType w:val="hybridMultilevel"/>
    <w:tmpl w:val="44E8D2B4"/>
    <w:lvl w:ilvl="0" w:tplc="F96C4B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6417"/>
    <w:multiLevelType w:val="hybridMultilevel"/>
    <w:tmpl w:val="0AEE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4A4C"/>
    <w:multiLevelType w:val="hybridMultilevel"/>
    <w:tmpl w:val="43CA29A8"/>
    <w:lvl w:ilvl="0" w:tplc="F96C4B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02853"/>
    <w:multiLevelType w:val="hybridMultilevel"/>
    <w:tmpl w:val="B52E1340"/>
    <w:lvl w:ilvl="0" w:tplc="F96C4B6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E73AA"/>
    <w:multiLevelType w:val="hybridMultilevel"/>
    <w:tmpl w:val="05E6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70BD0"/>
    <w:multiLevelType w:val="hybridMultilevel"/>
    <w:tmpl w:val="9A14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221265">
    <w:abstractNumId w:val="5"/>
  </w:num>
  <w:num w:numId="2" w16cid:durableId="411850286">
    <w:abstractNumId w:val="3"/>
  </w:num>
  <w:num w:numId="3" w16cid:durableId="1056005059">
    <w:abstractNumId w:val="1"/>
  </w:num>
  <w:num w:numId="4" w16cid:durableId="2047365020">
    <w:abstractNumId w:val="4"/>
  </w:num>
  <w:num w:numId="5" w16cid:durableId="825820439">
    <w:abstractNumId w:val="6"/>
  </w:num>
  <w:num w:numId="6" w16cid:durableId="1343816590">
    <w:abstractNumId w:val="2"/>
  </w:num>
  <w:num w:numId="7" w16cid:durableId="66552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7"/>
    <w:rsid w:val="00110FB7"/>
    <w:rsid w:val="00391487"/>
    <w:rsid w:val="00897072"/>
    <w:rsid w:val="00981434"/>
    <w:rsid w:val="00A80973"/>
    <w:rsid w:val="00B1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80FB"/>
  <w15:chartTrackingRefBased/>
  <w15:docId w15:val="{A0DD203C-6961-433D-BD7F-776870DA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Dorcheus 2</dc:creator>
  <cp:keywords/>
  <dc:description/>
  <cp:lastModifiedBy>Greg Dorcheus 2</cp:lastModifiedBy>
  <cp:revision>2</cp:revision>
  <dcterms:created xsi:type="dcterms:W3CDTF">2023-01-11T19:19:00Z</dcterms:created>
  <dcterms:modified xsi:type="dcterms:W3CDTF">2023-01-11T19:19:00Z</dcterms:modified>
</cp:coreProperties>
</file>